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  <w:t>连州市人民医院超高档实时四维彩色多普勒超声诊断仪</w:t>
      </w:r>
    </w:p>
    <w:p>
      <w:pPr>
        <w:widowControl/>
        <w:jc w:val="center"/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  <w:t>主系统技术要求</w:t>
      </w:r>
    </w:p>
    <w:p>
      <w:pPr>
        <w:widowControl/>
        <w:jc w:val="left"/>
        <w:rPr>
          <w:rFonts w:hint="eastAsia" w:ascii="宋体" w:hAnsi="宋体" w:cs="宋体"/>
          <w:sz w:val="28"/>
          <w:szCs w:val="28"/>
        </w:rPr>
      </w:pP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采用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软硬件一体化成像平台技术成像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属于国家3类医用注册证的06医用成像器械一级产品类别。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2、成像单元：二维灰阶成像单元、彩色多普勒单元、能量多普勒成像单元、PW脉冲波多普勒成像单元、CW连续波多普勒成像单元、实时四维成像单元、软件波束形成器技术。</w:t>
      </w:r>
      <w:bookmarkStart w:id="0" w:name="_GoBack"/>
      <w:bookmarkEnd w:id="0"/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3、容积四维成像：支持灰阶三维/四维成像模式、断层超声显像、具有实时四维穿刺引导功能、具备实时空间对比成像技术。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4、探头频率：超宽频、变频探头，工作频率可显示，变频探头中心频率可选择≥3种，多普勒频率≥3种（探头包含：腔内容积凸阵探头、腹部二维凸阵探头、线阵探头、腹部容积探头、相控阵探头）。</w:t>
      </w:r>
    </w:p>
    <w:p>
      <w:pPr>
        <w:numPr>
          <w:ilvl w:val="0"/>
          <w:numId w:val="0"/>
        </w:numPr>
        <w:rPr>
          <w:rFonts w:hint="default" w:ascii="宋体" w:hAnsi="宋体" w:cs="宋体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70E1"/>
    <w:rsid w:val="0D767EA4"/>
    <w:rsid w:val="25141942"/>
    <w:rsid w:val="389B6E01"/>
    <w:rsid w:val="51FA0C36"/>
    <w:rsid w:val="53963376"/>
    <w:rsid w:val="5538224C"/>
    <w:rsid w:val="564C37B3"/>
    <w:rsid w:val="750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2025-07-22T09:35:00Z</dcterms:created>
  <dc:creator>Administrator</dc:creator>
  <cp:lastModifiedBy>Administrator</cp:lastModifiedBy>
  <dcterms:modified xsi:type="dcterms:W3CDTF">2025-09-26T03:43:48Z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2615A28F800249D3979C63B79D76CAEA_12</vt:lpwstr>
  </property>
</Properties>
</file>